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98BBB" w14:textId="741894A0" w:rsidR="005A32A6" w:rsidRDefault="005A32A6" w:rsidP="00BB535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SECTION IV.  ELECTRONIC </w:t>
      </w:r>
      <w:r w:rsidR="003F296B">
        <w:rPr>
          <w:rFonts w:ascii="Arial" w:hAnsi="Arial"/>
          <w:b/>
          <w:u w:val="single"/>
        </w:rPr>
        <w:t>REPORTING</w:t>
      </w:r>
      <w:r>
        <w:rPr>
          <w:rFonts w:ascii="Arial" w:hAnsi="Arial"/>
          <w:b/>
          <w:u w:val="single"/>
        </w:rPr>
        <w:t xml:space="preserve"> INSTRUCTIONS</w:t>
      </w:r>
    </w:p>
    <w:p w14:paraId="6E0AC2E5" w14:textId="15677E7A" w:rsidR="00BB5356" w:rsidRDefault="00BB5356" w:rsidP="00BB5356">
      <w:pPr>
        <w:jc w:val="center"/>
        <w:rPr>
          <w:rFonts w:ascii="Arial" w:hAnsi="Arial"/>
          <w:b/>
        </w:rPr>
      </w:pPr>
      <w:r w:rsidRPr="00A42463">
        <w:rPr>
          <w:rFonts w:ascii="Arial" w:hAnsi="Arial"/>
          <w:b/>
          <w:sz w:val="28"/>
        </w:rPr>
        <w:t xml:space="preserve">(Current as of </w:t>
      </w:r>
      <w:r>
        <w:rPr>
          <w:rFonts w:ascii="Arial" w:hAnsi="Arial"/>
          <w:b/>
          <w:sz w:val="28"/>
        </w:rPr>
        <w:t>August</w:t>
      </w:r>
      <w:r w:rsidRPr="00A42463">
        <w:rPr>
          <w:rFonts w:ascii="Arial" w:hAnsi="Arial"/>
          <w:b/>
          <w:sz w:val="28"/>
        </w:rPr>
        <w:t>, 201</w:t>
      </w:r>
      <w:r>
        <w:rPr>
          <w:rFonts w:ascii="Arial" w:hAnsi="Arial"/>
          <w:b/>
          <w:sz w:val="28"/>
        </w:rPr>
        <w:t>7</w:t>
      </w:r>
      <w:r w:rsidRPr="00A42463">
        <w:rPr>
          <w:rFonts w:ascii="Arial" w:hAnsi="Arial"/>
          <w:b/>
          <w:sz w:val="28"/>
        </w:rPr>
        <w:t>)</w:t>
      </w:r>
    </w:p>
    <w:p w14:paraId="0C328FDB" w14:textId="77777777" w:rsidR="005A32A6" w:rsidRDefault="005A32A6">
      <w:pPr>
        <w:jc w:val="both"/>
        <w:rPr>
          <w:rFonts w:ascii="Arial" w:hAnsi="Arial"/>
          <w:b/>
        </w:rPr>
      </w:pPr>
    </w:p>
    <w:p w14:paraId="0AC56F0C" w14:textId="77777777" w:rsidR="005A32A6" w:rsidRDefault="005A32A6">
      <w:pPr>
        <w:jc w:val="both"/>
        <w:rPr>
          <w:rFonts w:ascii="Arial" w:hAnsi="Arial"/>
          <w:b/>
        </w:rPr>
      </w:pPr>
    </w:p>
    <w:p w14:paraId="5341D276" w14:textId="77777777" w:rsidR="005A32A6" w:rsidRDefault="005A32A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OVERVIEW:</w:t>
      </w:r>
    </w:p>
    <w:p w14:paraId="1F33CE10" w14:textId="77777777" w:rsidR="005A32A6" w:rsidRDefault="005A32A6">
      <w:pPr>
        <w:jc w:val="both"/>
        <w:rPr>
          <w:rFonts w:ascii="Arial" w:hAnsi="Arial"/>
        </w:rPr>
      </w:pPr>
    </w:p>
    <w:p w14:paraId="21750372" w14:textId="26A80049" w:rsidR="005A32A6" w:rsidRDefault="005A32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‘Oil’ and ‘Gas’ Royalty </w:t>
      </w:r>
      <w:r w:rsidR="00606678">
        <w:rPr>
          <w:rFonts w:ascii="Arial" w:hAnsi="Arial"/>
        </w:rPr>
        <w:t xml:space="preserve">and NPSL </w:t>
      </w:r>
      <w:r>
        <w:rPr>
          <w:rFonts w:ascii="Arial" w:hAnsi="Arial"/>
        </w:rPr>
        <w:t xml:space="preserve">Reports </w:t>
      </w:r>
      <w:bookmarkStart w:id="0" w:name="_GoBack"/>
      <w:bookmarkEnd w:id="0"/>
      <w:r w:rsidR="00606678">
        <w:rPr>
          <w:rFonts w:ascii="Arial" w:hAnsi="Arial"/>
        </w:rPr>
        <w:t xml:space="preserve">must </w:t>
      </w:r>
      <w:r>
        <w:rPr>
          <w:rFonts w:ascii="Arial" w:hAnsi="Arial"/>
        </w:rPr>
        <w:t>be filed electronically.  The data must consist of appropriate codes</w:t>
      </w:r>
      <w:r w:rsidR="003A0244">
        <w:rPr>
          <w:rFonts w:ascii="Arial" w:hAnsi="Arial"/>
        </w:rPr>
        <w:t xml:space="preserve"> </w:t>
      </w:r>
      <w:r>
        <w:rPr>
          <w:rFonts w:ascii="Arial" w:hAnsi="Arial"/>
        </w:rPr>
        <w:t>as provided in these instructions</w:t>
      </w:r>
      <w:r w:rsidR="003A0244">
        <w:rPr>
          <w:rFonts w:ascii="Arial" w:hAnsi="Arial"/>
        </w:rPr>
        <w:t>.</w:t>
      </w:r>
      <w:r w:rsidR="006B1304">
        <w:rPr>
          <w:rFonts w:ascii="Arial" w:hAnsi="Arial"/>
        </w:rPr>
        <w:t xml:space="preserve"> Many formulas are used in the reports especially the NPSL reports so filling them with the formulas is very much advised.</w:t>
      </w:r>
    </w:p>
    <w:p w14:paraId="2111F8C5" w14:textId="77777777" w:rsidR="005A32A6" w:rsidRDefault="005A32A6">
      <w:pPr>
        <w:jc w:val="both"/>
        <w:rPr>
          <w:rFonts w:ascii="Arial" w:hAnsi="Arial"/>
        </w:rPr>
      </w:pPr>
    </w:p>
    <w:p w14:paraId="49815490" w14:textId="77777777" w:rsidR="005A32A6" w:rsidRDefault="005A32A6">
      <w:pPr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Instruction For Electronic Reporting</w:t>
      </w:r>
      <w:r>
        <w:rPr>
          <w:rFonts w:ascii="Arial" w:hAnsi="Arial"/>
          <w:b/>
        </w:rPr>
        <w:t>:</w:t>
      </w:r>
    </w:p>
    <w:p w14:paraId="0195FE98" w14:textId="77777777" w:rsidR="005A32A6" w:rsidRDefault="005A32A6">
      <w:pPr>
        <w:jc w:val="both"/>
        <w:rPr>
          <w:rFonts w:ascii="Arial" w:hAnsi="Arial"/>
        </w:rPr>
      </w:pPr>
    </w:p>
    <w:p w14:paraId="7254BE5E" w14:textId="1AEE9F4C" w:rsidR="005A32A6" w:rsidRDefault="005A32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Lessees must file ‘Oil’ and ‘Gas’ Royalty </w:t>
      </w:r>
      <w:r w:rsidR="00606678">
        <w:rPr>
          <w:rFonts w:ascii="Arial" w:hAnsi="Arial"/>
        </w:rPr>
        <w:t xml:space="preserve">and NPSL </w:t>
      </w:r>
      <w:r>
        <w:rPr>
          <w:rFonts w:ascii="Arial" w:hAnsi="Arial"/>
        </w:rPr>
        <w:t>Reports electronically.  Reports must follow the guidelines set forth in this section</w:t>
      </w:r>
      <w:r w:rsidR="00640DB2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the regulations 11 AAC 04</w:t>
      </w:r>
      <w:r w:rsidR="0071163C">
        <w:rPr>
          <w:rFonts w:ascii="Arial" w:hAnsi="Arial"/>
        </w:rPr>
        <w:t xml:space="preserve"> and Article 2 of 11 AAC 83</w:t>
      </w:r>
      <w:r>
        <w:rPr>
          <w:rFonts w:ascii="Arial" w:hAnsi="Arial"/>
        </w:rPr>
        <w:t>.  Section IV-B shows the data field structures for data to be reported on the Royalty Operator, Royalty Valuation, and the Royalty Payment Summary reports.</w:t>
      </w:r>
    </w:p>
    <w:p w14:paraId="38182259" w14:textId="77777777" w:rsidR="005A32A6" w:rsidRDefault="005A32A6">
      <w:pPr>
        <w:jc w:val="both"/>
        <w:rPr>
          <w:rFonts w:ascii="Arial" w:hAnsi="Arial"/>
        </w:rPr>
      </w:pPr>
    </w:p>
    <w:p w14:paraId="277546A2" w14:textId="2D770736" w:rsidR="005A32A6" w:rsidRDefault="005A32A6">
      <w:pPr>
        <w:jc w:val="both"/>
        <w:rPr>
          <w:rFonts w:ascii="Arial" w:hAnsi="Arial"/>
        </w:rPr>
      </w:pPr>
      <w:r>
        <w:rPr>
          <w:rFonts w:ascii="Arial" w:hAnsi="Arial"/>
        </w:rPr>
        <w:t>All electronic filings must use</w:t>
      </w:r>
      <w:r w:rsidR="00640DB2">
        <w:rPr>
          <w:rFonts w:ascii="Arial" w:hAnsi="Arial"/>
        </w:rPr>
        <w:t xml:space="preserve"> a DO&amp;G designed electronic spreadsheet format with strict format and data entry requirements.</w:t>
      </w:r>
      <w:r w:rsidR="002070AD">
        <w:rPr>
          <w:rFonts w:ascii="Arial" w:hAnsi="Arial"/>
        </w:rPr>
        <w:t xml:space="preserve"> </w:t>
      </w:r>
      <w:r w:rsidR="00483984">
        <w:rPr>
          <w:rFonts w:ascii="Arial" w:hAnsi="Arial"/>
        </w:rPr>
        <w:t xml:space="preserve">The alternate electronic standard is </w:t>
      </w:r>
      <w:r>
        <w:rPr>
          <w:rFonts w:ascii="Arial" w:hAnsi="Arial"/>
        </w:rPr>
        <w:t>American National Standards Institute (ANSI) standards for Electronic Data Interchange (EDI) formats.  A sample mapping of the EDI format can be found in Section IV-C.  Lessees should contact the DNR-DO&amp;G for specific requirements and assistance in preparing electronic formats and data transmissions.</w:t>
      </w:r>
      <w:r w:rsidR="002070AD">
        <w:rPr>
          <w:rFonts w:ascii="Arial" w:hAnsi="Arial"/>
        </w:rPr>
        <w:t xml:space="preserve"> </w:t>
      </w:r>
    </w:p>
    <w:p w14:paraId="5923871F" w14:textId="77777777" w:rsidR="005A32A6" w:rsidRDefault="005A32A6">
      <w:pPr>
        <w:jc w:val="both"/>
        <w:rPr>
          <w:rFonts w:ascii="Arial" w:hAnsi="Arial"/>
        </w:rPr>
      </w:pPr>
    </w:p>
    <w:p w14:paraId="5DF00C02" w14:textId="6A18CDD3" w:rsidR="005A32A6" w:rsidRDefault="005A32A6">
      <w:pPr>
        <w:jc w:val="both"/>
        <w:rPr>
          <w:rFonts w:ascii="Arial" w:hAnsi="Arial"/>
        </w:rPr>
      </w:pPr>
      <w:r>
        <w:rPr>
          <w:rFonts w:ascii="Arial" w:hAnsi="Arial"/>
        </w:rPr>
        <w:t>Electronic filings must be sent via electronic media approved by the</w:t>
      </w:r>
      <w:r w:rsidR="005C67F6">
        <w:rPr>
          <w:rFonts w:ascii="Arial" w:hAnsi="Arial"/>
        </w:rPr>
        <w:t xml:space="preserve"> DO&amp;G</w:t>
      </w:r>
      <w:r>
        <w:rPr>
          <w:rFonts w:ascii="Arial" w:hAnsi="Arial"/>
        </w:rPr>
        <w:t xml:space="preserve">.  All formats and media must be received in accordance with </w:t>
      </w:r>
      <w:r w:rsidR="00606678">
        <w:rPr>
          <w:rFonts w:ascii="Arial" w:hAnsi="Arial"/>
        </w:rPr>
        <w:t xml:space="preserve">11 AAC 04, Payment of Oil and Gas Royalties, Rents, and Bonus and Article 2, 11 AAC 83 Net Profit Share </w:t>
      </w:r>
      <w:r>
        <w:rPr>
          <w:rFonts w:ascii="Arial" w:hAnsi="Arial"/>
        </w:rPr>
        <w:t>regulations</w:t>
      </w:r>
      <w:r w:rsidR="0071163C">
        <w:rPr>
          <w:rFonts w:ascii="Arial" w:hAnsi="Arial"/>
        </w:rPr>
        <w:t>.</w:t>
      </w:r>
    </w:p>
    <w:sectPr w:rsidR="005A32A6">
      <w:footerReference w:type="default" r:id="rId6"/>
      <w:endnotePr>
        <w:numFmt w:val="decimal"/>
      </w:endnotePr>
      <w:pgSz w:w="12240" w:h="15840"/>
      <w:pgMar w:top="1152" w:right="1296" w:bottom="1152" w:left="1296" w:header="900" w:footer="4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C5F6" w14:textId="77777777" w:rsidR="006A0DC7" w:rsidRDefault="006A0DC7">
      <w:r>
        <w:separator/>
      </w:r>
    </w:p>
  </w:endnote>
  <w:endnote w:type="continuationSeparator" w:id="0">
    <w:p w14:paraId="277194E3" w14:textId="77777777" w:rsidR="006A0DC7" w:rsidRDefault="006A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9A46" w14:textId="5808A794" w:rsidR="005A32A6" w:rsidRDefault="005A32A6">
    <w:pPr>
      <w:tabs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right" w:pos="9504"/>
      </w:tabs>
      <w:ind w:left="144" w:right="144"/>
    </w:pPr>
    <w:r>
      <w:rPr>
        <w:rFonts w:ascii="Arial" w:hAnsi="Arial"/>
        <w:sz w:val="16"/>
      </w:rPr>
      <w:tab/>
    </w:r>
    <w:r w:rsidR="00BB5356">
      <w:rPr>
        <w:rFonts w:ascii="Arial" w:hAnsi="Arial"/>
        <w:sz w:val="16"/>
      </w:rPr>
      <w:tab/>
    </w:r>
    <w:r w:rsidR="00BB5356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EE7BC3">
      <w:rPr>
        <w:rFonts w:ascii="Arial" w:hAnsi="Arial"/>
        <w:b/>
        <w:sz w:val="16"/>
      </w:rPr>
      <w:t xml:space="preserve">IV - </w:t>
    </w:r>
    <w:r w:rsidRPr="00EE7BC3">
      <w:rPr>
        <w:rFonts w:ascii="Arial" w:hAnsi="Arial"/>
        <w:b/>
        <w:sz w:val="16"/>
      </w:rPr>
      <w:fldChar w:fldCharType="begin"/>
    </w:r>
    <w:r w:rsidRPr="00EE7BC3">
      <w:rPr>
        <w:rFonts w:ascii="Arial" w:hAnsi="Arial"/>
        <w:b/>
        <w:sz w:val="16"/>
      </w:rPr>
      <w:instrText xml:space="preserve">PAGE </w:instrText>
    </w:r>
    <w:r w:rsidRPr="00EE7BC3">
      <w:rPr>
        <w:rFonts w:ascii="Arial" w:hAnsi="Arial"/>
        <w:b/>
        <w:sz w:val="16"/>
      </w:rPr>
      <w:fldChar w:fldCharType="separate"/>
    </w:r>
    <w:r w:rsidR="00BB5356">
      <w:rPr>
        <w:rFonts w:ascii="Arial" w:hAnsi="Arial"/>
        <w:b/>
        <w:noProof/>
        <w:sz w:val="16"/>
      </w:rPr>
      <w:t>1</w:t>
    </w:r>
    <w:r w:rsidRPr="00EE7BC3">
      <w:rPr>
        <w:rFonts w:ascii="Arial" w:hAnsi="Arial"/>
        <w:b/>
        <w:sz w:val="16"/>
      </w:rPr>
      <w:fldChar w:fldCharType="end"/>
    </w:r>
    <w:r w:rsidR="00EE7BC3">
      <w:rPr>
        <w:rFonts w:ascii="Arial" w:hAnsi="Arial"/>
        <w:b/>
        <w:sz w:val="28"/>
      </w:rPr>
      <w:tab/>
    </w:r>
    <w:r w:rsidR="00BB5356">
      <w:rPr>
        <w:rFonts w:ascii="Arial" w:hAnsi="Arial"/>
        <w:b/>
        <w:sz w:val="28"/>
      </w:rPr>
      <w:tab/>
    </w:r>
    <w:r>
      <w:tab/>
    </w:r>
    <w:r w:rsidR="00BB5356" w:rsidRPr="00EE7BC3">
      <w:rPr>
        <w:rFonts w:ascii="Arial" w:hAnsi="Arial"/>
        <w:b/>
        <w:sz w:val="12"/>
      </w:rPr>
      <w:fldChar w:fldCharType="begin"/>
    </w:r>
    <w:r w:rsidR="00BB5356" w:rsidRPr="00EE7BC3">
      <w:rPr>
        <w:rFonts w:ascii="Arial" w:hAnsi="Arial"/>
        <w:b/>
        <w:sz w:val="12"/>
      </w:rPr>
      <w:instrText xml:space="preserve"> FILENAME   \* MERGEFORMAT </w:instrText>
    </w:r>
    <w:r w:rsidR="00BB5356" w:rsidRPr="00EE7BC3">
      <w:rPr>
        <w:rFonts w:ascii="Arial" w:hAnsi="Arial"/>
        <w:b/>
        <w:sz w:val="12"/>
      </w:rPr>
      <w:fldChar w:fldCharType="separate"/>
    </w:r>
    <w:r w:rsidR="00BB5356" w:rsidRPr="00EE7BC3">
      <w:rPr>
        <w:rFonts w:ascii="Arial" w:hAnsi="Arial"/>
        <w:b/>
        <w:noProof/>
        <w:sz w:val="12"/>
      </w:rPr>
      <w:t>Electronic Filing Instructions_07sectiv_201709</w:t>
    </w:r>
    <w:r w:rsidR="00BB5356" w:rsidRPr="00EE7BC3">
      <w:rPr>
        <w:rFonts w:ascii="Arial" w:hAnsi="Arial"/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B9F3" w14:textId="77777777" w:rsidR="006A0DC7" w:rsidRDefault="006A0DC7">
      <w:r>
        <w:separator/>
      </w:r>
    </w:p>
  </w:footnote>
  <w:footnote w:type="continuationSeparator" w:id="0">
    <w:p w14:paraId="68FD5D6C" w14:textId="77777777" w:rsidR="006A0DC7" w:rsidRDefault="006A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0"/>
    <w:rsid w:val="000B5788"/>
    <w:rsid w:val="002070AD"/>
    <w:rsid w:val="002A2143"/>
    <w:rsid w:val="003A0244"/>
    <w:rsid w:val="003F296B"/>
    <w:rsid w:val="00483984"/>
    <w:rsid w:val="004E6B79"/>
    <w:rsid w:val="005A32A6"/>
    <w:rsid w:val="005C67F6"/>
    <w:rsid w:val="00606678"/>
    <w:rsid w:val="00640DB2"/>
    <w:rsid w:val="006A0DC7"/>
    <w:rsid w:val="006B1304"/>
    <w:rsid w:val="0071163C"/>
    <w:rsid w:val="00734BC3"/>
    <w:rsid w:val="00986DD0"/>
    <w:rsid w:val="00BB5356"/>
    <w:rsid w:val="00C21B90"/>
    <w:rsid w:val="00EB22B3"/>
    <w:rsid w:val="00E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7B8DF3"/>
  <w15:chartTrackingRefBased/>
  <w15:docId w15:val="{AC64D4C6-4A45-4759-AE00-C157EC3F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640DB2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DB2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0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A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070A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70A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III</vt:lpstr>
    </vt:vector>
  </TitlesOfParts>
  <Company>State of Alaska, Division of Oil &amp; Gas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III</dc:title>
  <dc:subject/>
  <dc:creator>Merlin J. Wibbenmeyer</dc:creator>
  <cp:keywords/>
  <cp:lastModifiedBy>Steller, Brock R (DNR)</cp:lastModifiedBy>
  <cp:revision>6</cp:revision>
  <cp:lastPrinted>2002-09-24T22:41:00Z</cp:lastPrinted>
  <dcterms:created xsi:type="dcterms:W3CDTF">2016-09-30T20:51:00Z</dcterms:created>
  <dcterms:modified xsi:type="dcterms:W3CDTF">2017-09-07T21:26:00Z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580202062</vt:i4>
  </property>
  <property fmtid="{D5CDD505-2E9C-101B-9397-08002B2CF9AE}" pid="3" name="_NewReviewCycle">
    <vt:lpwstr/>
  </property>
  <property fmtid="{D5CDD505-2E9C-101B-9397-08002B2CF9AE}" pid="4" name="_EmailSubject">
    <vt:lpwstr>A Public Website Line of Business Update Request Has been submitted.</vt:lpwstr>
  </property>
  <property fmtid="{D5CDD505-2E9C-101B-9397-08002B2CF9AE}" pid="5" name="_AuthorEmail">
    <vt:lpwstr>brock.steller@alaska.gov</vt:lpwstr>
  </property>
  <property fmtid="{D5CDD505-2E9C-101B-9397-08002B2CF9AE}" pid="6" name="_AuthorEmailDisplayName">
    <vt:lpwstr>Steller, Brock R (DNR)</vt:lpwstr>
  </property>
  <property fmtid="{D5CDD505-2E9C-101B-9397-08002B2CF9AE}" pid="8" name="_PreviousAdHocReviewCycleID">
    <vt:i4>227764571</vt:i4>
  </property>
</Properties>
</file>